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sz w:val="20"/>
          <w:szCs w:val="20"/>
          <w:b w:val="1"/>
          <w:bCs w:val="1"/>
        </w:rPr>
        <w:t xml:space="preserve">III. DECLARAN “LAS PARTES”,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r>
        <w:rPr>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ANUAL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 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2421 del Código Civil para la Ciudad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rPr>
        <w:t xml:space="preserve"> parcialidades 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w:t>
      </w:r>
      <w:r>
        <w:rPr>
          <w:rFonts w:ascii="&quot;Century Gothic&quot;" w:hAnsi="&quot;Century Gothic&quot;" w:eastAsia="&quot;Century Gothic&quot;" w:cs="&quot;Century Gothic&quot;"/>
          <w:sz w:val="20"/>
          <w:szCs w:val="20"/>
          <w:shd w:val="clear" w:fill="fuchsia"/>
        </w:rPr>
        <w:t xml:space="preserve"> 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2431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los artículos 2489 fracción II y 2425 fracción III del Código Civil para la Ciudad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2448-C del Código Civil para la Ciudad de México.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renuncia expresamente al </w:t>
      </w:r>
      <w:r>
        <w:rPr>
          <w:rFonts w:ascii="&quot;Century Gothic&quot;" w:hAnsi="&quot;Century Gothic&quot;" w:eastAsia="&quot;Century Gothic&quot;" w:cs="&quot;Century Gothic&quot;"/>
          <w:sz w:val="20"/>
          <w:szCs w:val="20"/>
          <w:i w:val="1"/>
          <w:iCs w:val="1"/>
        </w:rPr>
        <w:t xml:space="preserve">derecho de preferencia por el arrendamiento</w:t>
      </w:r>
      <w:r>
        <w:rPr>
          <w:rFonts w:ascii="&quot;Century Gothic&quot;" w:hAnsi="&quot;Century Gothic&quot;" w:eastAsia="&quot;Century Gothic&quot;" w:cs="&quot;Century Gothic&quot;"/>
          <w:sz w:val="20"/>
          <w:szCs w:val="20"/>
        </w:rPr>
        <w:t xml:space="preserve">, previsto por el artículo 2447 del Código Civil para la Ciudad de México, habida cuenta que se trata de un derecho renunciable, al no encontrarse previsto en el Capítulo IV Título Sexto,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en términos de lo que establece el artículo 2448-C del Código Civil para la Ciudad de México,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RENTA a que se refiere la cláusula segunda de este instrumento se ajustará de forma anual y automática, sin que sea necesario notificación, requerimiento o interpelación judicial o extrajudicial, conforme a la tasa de inflación anual publicada por el Banco de México, del año anterior a la fecha en que inicie la segunda anualidad de arrendamiento, y así sucesivamente hasta la terminación de vigencia del contrato, de conformidad con lo previsto por el artículo 2448-D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2483 del Código Civil para la Ciudad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 de conformidad con lo previsto por el artículo </w:t>
      </w:r>
      <w:r>
        <w:rPr>
          <w:rFonts w:ascii="&quot;Century Gothic&quot;" w:hAnsi="&quot;Century Gothic&quot;" w:eastAsia="&quot;Century Gothic&quot;" w:cs="&quot;Century Gothic&quot;"/>
          <w:sz w:val="20"/>
          <w:szCs w:val="20"/>
          <w:shd w:val="clear" w:fill="red"/>
        </w:rPr>
        <w:t xml:space="preserve">2428 (SIC) E</w:t>
      </w:r>
      <w:r>
        <w:rPr>
          <w:rFonts w:ascii="&quot;Century Gothic&quot;" w:hAnsi="&quot;Century Gothic&quot;" w:eastAsia="&quot;Century Gothic&quot;" w:cs="&quot;Century Gothic&quot;"/>
          <w:sz w:val="20"/>
          <w:szCs w:val="20"/>
        </w:rPr>
        <w:t xml:space="preserve">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con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w:t>
      </w:r>
      <w:r>
        <w:rPr>
          <w:rFonts w:ascii="&quot;Century Gothic&quot;" w:hAnsi="&quot;Century Gothic&quot;" w:eastAsia="&quot;Century Gothic&quot;" w:cs="&quot;Century Gothic&quot;"/>
          <w:sz w:val="20"/>
          <w:szCs w:val="20"/>
          <w:b w:val="1"/>
          <w:bCs w:val="1"/>
        </w:rPr>
        <w:t xml:space="preserve"> [MONTO MENSUAL DE RENTA],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II del artículo 2423 del Código Civil para la Ciudad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 en términos de lo dispuesto por el artículo 2441 del Código Civil para la Ciudad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dispone de un plazo de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en términos de lo dispuesto por el artículo 2412 del Código Civil para la Ciudad de México.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por cuenta del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los gastos de conservación o mantenimiento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así como a responder en caso de siniestro en los términos de lo dispuesto por el artículo 2435 del Código Civil para la Ciudad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arrendamiento inmobiliario, a fin de solicitar a la autoridad competente, el embargo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lo anterior en términos de lo dispuesto por el </w:t>
      </w:r>
      <w:r>
        <w:rPr>
          <w:rFonts w:ascii="&quot;Century Gothic&quot;" w:hAnsi="&quot;Century Gothic&quot;" w:eastAsia="&quot;Century Gothic&quot;" w:cs="&quot;Century Gothic&quot;"/>
          <w:sz w:val="20"/>
          <w:szCs w:val="20"/>
          <w:shd w:val="clear" w:fill="fuchsia"/>
        </w:rPr>
        <w:t xml:space="preserve">artículo 525 del Código Nacional de Procedimientos Civiles y Familiares.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 </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rPr>
        <w:t xml:space="preserve">d</w:t>
      </w:r>
      <w:r>
        <w:rPr>
          <w:rFonts w:ascii="&quot;Century Gothic&quot;" w:hAnsi="&quot;Century Gothic&quot;" w:eastAsia="&quot;Century Gothic&quot;" w:cs="&quot;Century Gothic&quot;"/>
          <w:sz w:val="20"/>
          <w:szCs w:val="20"/>
          <w:b w:val="1"/>
          <w:bCs w:val="1"/>
          <w:shd w:val="clear" w:fill="yellow"/>
        </w:rPr>
        <w:t xml:space="preserve">)</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de Propiedad en Condominio de Inmuebles para el Distrito Federal (Ciudad de México), y</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w:t>
      </w:r>
      <w:r>
        <w:rPr>
          <w:rFonts w:ascii="&quot;Century Gothic&quot;" w:hAnsi="&quot;Century Gothic&quot;" w:eastAsia="&quot;Century Gothic&quot;" w:cs="&quot;Century Gothic&quot;"/>
          <w:sz w:val="20"/>
          <w:szCs w:val="20"/>
          <w:b w:val="1"/>
          <w:bCs w:val="1"/>
          <w:shd w:val="clear" w:fill="aqua"/>
        </w:rPr>
        <w:t xml:space="preserve">RENTA</w:t>
      </w:r>
      <w:r>
        <w:rPr>
          <w:rFonts w:ascii="&quot;Century Gothic&quot;" w:hAnsi="&quot;Century Gothic&quot;" w:eastAsia="&quot;Century Gothic&quot;" w:cs="&quot;Century Gothic&quot;"/>
          <w:sz w:val="20"/>
          <w:szCs w:val="20"/>
          <w:shd w:val="clear" w:fill="aqua"/>
        </w:rPr>
        <w:t xml:space="preserve">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shd w:val="clear" w:fill="yellow"/>
        </w:rPr>
        <w:t xml:space="preserve">VIGÉSIMA CUARTA.</w:t>
      </w:r>
      <w:r>
        <w:rPr>
          <w:rFonts w:ascii="&quot;Century Gothic&quot;" w:hAnsi="&quot;Century Gothic&quot;" w:eastAsia="&quot;Century Gothic&quot;" w:cs="&quot;Century Gothic&quot;"/>
          <w:sz w:val="20"/>
          <w:szCs w:val="20"/>
          <w:b w:val="1"/>
          <w:bCs w:val="1"/>
          <w:u w:val="single"/>
        </w:rPr>
        <w:t xml:space="preserve"> L E G I S L A C I Ó N   Y   J U R I S D I C C I Ó N.</w:t>
      </w:r>
      <w:r>
        <w:rPr>
          <w:rFonts w:ascii="&quot;Century Gothic&quot;" w:hAnsi="&quot;Century Gothic&quot;" w:eastAsia="&quot;Century Gothic&quot;" w:cs="&quot;Century Gothic&quot;"/>
          <w:sz w:val="20"/>
          <w:szCs w:val="20"/>
        </w:rPr>
        <w:t xml:space="preserve">- Las partes acuerdan que para la interpretación, ejecución, notificación, consignación, procedimiento no contencioso, rescisión y/o cumplimiento del presente contrato, se someten expresamente a la jurisdicción y competencia de las Leyes y Tribunales Civiles de la Ciudad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LA CIUDAD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r>
        <w:rPr>
          <w:rFonts w:ascii="&quot;Century Gothic&quot;" w:hAnsi="&quot;Century Gothic&quot;" w:eastAsia="&quot;Century Gothic&quot;" w:cs="&quot;Century Gothic&quot;"/>
          <w:sz w:val="20"/>
          <w:szCs w:val="20"/>
          <w:b w:val="1"/>
          <w:bCs w:val="1"/>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b w:val="1"/>
          <w:bCs w:val="1"/>
        </w:rPr>
        <w:t xml:space="preserve">EL ARRENDADOR</w:t>
      </w: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260BB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2025-08-29T15:12:22-06:00</dcterms:created>
  <dcterms:modified xsi:type="dcterms:W3CDTF">2025-08-29T15:12:22-06:00</dcterms:modified>
</cp:coreProperties>
</file>

<file path=docProps/custom.xml><?xml version="1.0" encoding="utf-8"?>
<Properties xmlns="http://schemas.openxmlformats.org/officeDocument/2006/custom-properties" xmlns:vt="http://schemas.openxmlformats.org/officeDocument/2006/docPropsVTypes"/>
</file>